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B1" w:rsidRDefault="00947758" w:rsidP="006557B1">
      <w:pPr>
        <w:jc w:val="center"/>
        <w:rPr>
          <w:rFonts w:ascii="Tahoma" w:hAnsi="Tahoma" w:cs="Tahoma"/>
          <w:b/>
        </w:rPr>
      </w:pPr>
      <w:bookmarkStart w:id="0" w:name="_GoBack"/>
      <w:r>
        <w:rPr>
          <w:rFonts w:ascii="Tahoma" w:hAnsi="Tahoma" w:cs="Tahoma"/>
          <w:b/>
          <w:noProof/>
          <w:lang w:val="en-TT" w:eastAsia="en-TT"/>
        </w:rPr>
        <w:drawing>
          <wp:inline distT="0" distB="0" distL="0" distR="0">
            <wp:extent cx="1279525" cy="127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C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624" cy="127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557B1" w:rsidRDefault="006557B1" w:rsidP="006557B1">
      <w:pPr>
        <w:pStyle w:val="Title"/>
        <w:spacing w:line="276" w:lineRule="auto"/>
        <w:outlineLvl w:val="0"/>
        <w:rPr>
          <w:rFonts w:ascii="Tahoma" w:hAnsi="Tahoma" w:cs="Tahoma"/>
          <w:sz w:val="24"/>
          <w:szCs w:val="24"/>
          <w:lang w:val="en-GB"/>
        </w:rPr>
      </w:pPr>
    </w:p>
    <w:p w:rsidR="006557B1" w:rsidRDefault="006557B1" w:rsidP="006557B1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7F3601">
        <w:rPr>
          <w:rFonts w:ascii="Tahoma" w:hAnsi="Tahoma" w:cs="Tahoma"/>
          <w:b/>
          <w:bCs/>
          <w:sz w:val="24"/>
          <w:szCs w:val="24"/>
        </w:rPr>
        <w:t>TRINIDAD AND TOBAGO SECURITIES AND EXCHANGE COMMISSION</w:t>
      </w:r>
    </w:p>
    <w:p w:rsidR="006557B1" w:rsidRDefault="006557B1" w:rsidP="006557B1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In the Matter of Section 71 of the Securities Act 2012</w:t>
      </w:r>
    </w:p>
    <w:p w:rsidR="006557B1" w:rsidRPr="007F3601" w:rsidRDefault="00A635EF" w:rsidP="006557B1">
      <w:pPr>
        <w:jc w:val="center"/>
        <w:rPr>
          <w:rFonts w:ascii="Tahoma" w:hAnsi="Tahoma" w:cs="Tahoma"/>
          <w:b/>
          <w:bCs/>
          <w:sz w:val="24"/>
          <w:szCs w:val="24"/>
        </w:rPr>
      </w:pPr>
      <w:proofErr w:type="gramStart"/>
      <w:r>
        <w:rPr>
          <w:rFonts w:ascii="Tahoma" w:hAnsi="Tahoma" w:cs="Tahoma"/>
          <w:b/>
          <w:bCs/>
          <w:sz w:val="24"/>
          <w:szCs w:val="24"/>
        </w:rPr>
        <w:t>and</w:t>
      </w:r>
      <w:proofErr w:type="gramEnd"/>
    </w:p>
    <w:p w:rsidR="006557B1" w:rsidRDefault="006557B1" w:rsidP="006557B1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7F3601">
        <w:rPr>
          <w:rFonts w:ascii="Tahoma" w:hAnsi="Tahoma" w:cs="Tahoma"/>
          <w:b/>
          <w:bCs/>
          <w:sz w:val="24"/>
          <w:szCs w:val="24"/>
        </w:rPr>
        <w:t xml:space="preserve">In the Matter of </w:t>
      </w:r>
      <w:r>
        <w:rPr>
          <w:rFonts w:ascii="Tahoma" w:hAnsi="Tahoma" w:cs="Tahoma"/>
          <w:b/>
          <w:bCs/>
          <w:sz w:val="24"/>
          <w:szCs w:val="24"/>
        </w:rPr>
        <w:t xml:space="preserve">an Application for the de-registration of </w:t>
      </w:r>
      <w:r w:rsidR="003C4FFB">
        <w:rPr>
          <w:rFonts w:ascii="Tahoma" w:hAnsi="Tahoma" w:cs="Tahoma"/>
          <w:b/>
          <w:bCs/>
          <w:sz w:val="24"/>
          <w:szCs w:val="24"/>
        </w:rPr>
        <w:t xml:space="preserve">Stallion Property Trust </w:t>
      </w:r>
      <w:r>
        <w:rPr>
          <w:rFonts w:ascii="Tahoma" w:hAnsi="Tahoma" w:cs="Tahoma"/>
          <w:b/>
          <w:bCs/>
          <w:sz w:val="24"/>
          <w:szCs w:val="24"/>
        </w:rPr>
        <w:t>as a Reporting Issuer</w:t>
      </w:r>
      <w:r w:rsidR="007F715D">
        <w:rPr>
          <w:rFonts w:ascii="Tahoma" w:hAnsi="Tahoma" w:cs="Tahoma"/>
          <w:b/>
          <w:bCs/>
          <w:sz w:val="24"/>
          <w:szCs w:val="24"/>
        </w:rPr>
        <w:t xml:space="preserve"> and Collective investment Scheme</w:t>
      </w:r>
    </w:p>
    <w:p w:rsidR="006557B1" w:rsidRPr="003B4651" w:rsidRDefault="006557B1" w:rsidP="006557B1">
      <w:pPr>
        <w:jc w:val="center"/>
        <w:rPr>
          <w:rFonts w:ascii="Tahoma" w:hAnsi="Tahoma" w:cs="Tahoma"/>
          <w:sz w:val="24"/>
          <w:szCs w:val="24"/>
        </w:rPr>
      </w:pPr>
    </w:p>
    <w:p w:rsidR="006557B1" w:rsidRPr="007F3601" w:rsidRDefault="006557B1" w:rsidP="006557B1">
      <w:pPr>
        <w:pStyle w:val="Heading1"/>
        <w:spacing w:line="276" w:lineRule="auto"/>
        <w:jc w:val="center"/>
        <w:rPr>
          <w:rFonts w:ascii="Tahoma" w:hAnsi="Tahoma" w:cs="Tahoma"/>
          <w:bCs/>
          <w:sz w:val="24"/>
          <w:szCs w:val="24"/>
          <w:u w:val="single"/>
        </w:rPr>
      </w:pPr>
      <w:r w:rsidRPr="007F3601">
        <w:rPr>
          <w:rFonts w:ascii="Tahoma" w:hAnsi="Tahoma" w:cs="Tahoma"/>
          <w:bCs/>
          <w:sz w:val="24"/>
          <w:szCs w:val="24"/>
          <w:u w:val="single"/>
        </w:rPr>
        <w:t>ORDER OF THE COMMISSION</w:t>
      </w:r>
    </w:p>
    <w:p w:rsidR="006557B1" w:rsidRPr="007F3601" w:rsidRDefault="006557B1" w:rsidP="006557B1">
      <w:pPr>
        <w:jc w:val="both"/>
        <w:rPr>
          <w:rFonts w:ascii="Tahoma" w:hAnsi="Tahoma" w:cs="Tahoma"/>
          <w:sz w:val="24"/>
          <w:szCs w:val="24"/>
        </w:rPr>
      </w:pPr>
    </w:p>
    <w:p w:rsidR="006557B1" w:rsidRPr="007F3601" w:rsidRDefault="007F2F69" w:rsidP="006557B1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Dated this </w:t>
      </w:r>
      <w:proofErr w:type="gramStart"/>
      <w:r>
        <w:rPr>
          <w:rFonts w:ascii="Tahoma" w:hAnsi="Tahoma" w:cs="Tahoma"/>
          <w:b/>
          <w:sz w:val="24"/>
          <w:szCs w:val="24"/>
        </w:rPr>
        <w:t>27</w:t>
      </w:r>
      <w:r w:rsidRPr="007F2F69">
        <w:rPr>
          <w:rFonts w:ascii="Tahoma" w:hAnsi="Tahoma" w:cs="Tahoma"/>
          <w:b/>
          <w:sz w:val="24"/>
          <w:szCs w:val="24"/>
          <w:vertAlign w:val="superscript"/>
        </w:rPr>
        <w:t>th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E0554B">
        <w:rPr>
          <w:rFonts w:ascii="Tahoma" w:hAnsi="Tahoma" w:cs="Tahoma"/>
          <w:b/>
          <w:sz w:val="24"/>
          <w:szCs w:val="24"/>
        </w:rPr>
        <w:t xml:space="preserve"> </w:t>
      </w:r>
      <w:r w:rsidR="006557B1">
        <w:rPr>
          <w:rFonts w:ascii="Tahoma" w:hAnsi="Tahoma" w:cs="Tahoma"/>
          <w:b/>
          <w:sz w:val="24"/>
          <w:szCs w:val="24"/>
        </w:rPr>
        <w:t>day</w:t>
      </w:r>
      <w:proofErr w:type="gramEnd"/>
      <w:r w:rsidR="006557B1">
        <w:rPr>
          <w:rFonts w:ascii="Tahoma" w:hAnsi="Tahoma" w:cs="Tahoma"/>
          <w:b/>
          <w:sz w:val="24"/>
          <w:szCs w:val="24"/>
        </w:rPr>
        <w:t xml:space="preserve"> of </w:t>
      </w:r>
      <w:r w:rsidR="00F50845">
        <w:rPr>
          <w:rFonts w:ascii="Tahoma" w:hAnsi="Tahoma" w:cs="Tahoma"/>
          <w:b/>
          <w:sz w:val="24"/>
          <w:szCs w:val="24"/>
        </w:rPr>
        <w:t>July</w:t>
      </w:r>
      <w:r w:rsidR="003C4FFB">
        <w:rPr>
          <w:rFonts w:ascii="Tahoma" w:hAnsi="Tahoma" w:cs="Tahoma"/>
          <w:b/>
          <w:sz w:val="24"/>
          <w:szCs w:val="24"/>
        </w:rPr>
        <w:t>, 2016</w:t>
      </w:r>
    </w:p>
    <w:p w:rsidR="006557B1" w:rsidRPr="007F3601" w:rsidRDefault="006557B1" w:rsidP="006557B1">
      <w:pPr>
        <w:pBdr>
          <w:bottom w:val="single" w:sz="6" w:space="1" w:color="auto"/>
        </w:pBdr>
        <w:jc w:val="both"/>
        <w:rPr>
          <w:rFonts w:ascii="Tahoma" w:hAnsi="Tahoma" w:cs="Tahoma"/>
          <w:b/>
          <w:sz w:val="24"/>
          <w:szCs w:val="24"/>
        </w:rPr>
      </w:pPr>
    </w:p>
    <w:p w:rsidR="006557B1" w:rsidRPr="007F3601" w:rsidRDefault="006557B1" w:rsidP="006557B1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6557B1" w:rsidRPr="00C1723D" w:rsidRDefault="006557B1" w:rsidP="006557B1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7F3601">
        <w:rPr>
          <w:rFonts w:ascii="Tahoma" w:hAnsi="Tahoma" w:cs="Tahoma"/>
          <w:b/>
          <w:bCs/>
          <w:sz w:val="24"/>
          <w:szCs w:val="24"/>
        </w:rPr>
        <w:t>WHEREAS:</w:t>
      </w:r>
    </w:p>
    <w:p w:rsidR="006557B1" w:rsidRPr="00D54A8F" w:rsidRDefault="003C4FFB" w:rsidP="006557B1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Stallion Property Trust (“Stallion</w:t>
      </w:r>
      <w:r w:rsidR="006557B1">
        <w:rPr>
          <w:rFonts w:ascii="Tahoma" w:hAnsi="Tahoma" w:cs="Tahoma"/>
          <w:sz w:val="24"/>
          <w:szCs w:val="24"/>
          <w:lang w:val="en-GB"/>
        </w:rPr>
        <w:t xml:space="preserve">”) </w:t>
      </w:r>
      <w:r>
        <w:rPr>
          <w:rFonts w:ascii="Tahoma" w:hAnsi="Tahoma" w:cs="Tahoma"/>
          <w:sz w:val="24"/>
          <w:szCs w:val="24"/>
          <w:lang w:val="en-GB"/>
        </w:rPr>
        <w:t>was registered as a Reporting Issuer and Collective Investment Scheme</w:t>
      </w:r>
      <w:r w:rsidR="006557B1">
        <w:rPr>
          <w:rFonts w:ascii="Tahoma" w:hAnsi="Tahoma" w:cs="Tahoma"/>
          <w:sz w:val="24"/>
          <w:szCs w:val="24"/>
          <w:lang w:val="en-GB"/>
        </w:rPr>
        <w:t xml:space="preserve"> with the Trinidad and Tobago Securities and Exchange Commission (“the Commission”) </w:t>
      </w:r>
      <w:r w:rsidR="00FF6F0A">
        <w:rPr>
          <w:rFonts w:ascii="Tahoma" w:hAnsi="Tahoma" w:cs="Tahoma"/>
          <w:sz w:val="24"/>
          <w:szCs w:val="24"/>
          <w:lang w:val="en-GB"/>
        </w:rPr>
        <w:t>with effect from</w:t>
      </w:r>
      <w:r>
        <w:rPr>
          <w:rFonts w:ascii="Tahoma" w:hAnsi="Tahoma" w:cs="Tahoma"/>
          <w:sz w:val="24"/>
          <w:szCs w:val="24"/>
          <w:lang w:val="en-GB"/>
        </w:rPr>
        <w:t xml:space="preserve"> April 9, 2015</w:t>
      </w:r>
      <w:r w:rsidR="006557B1">
        <w:rPr>
          <w:rFonts w:ascii="Tahoma" w:hAnsi="Tahoma" w:cs="Tahoma"/>
          <w:sz w:val="24"/>
          <w:szCs w:val="24"/>
          <w:lang w:val="en-GB"/>
        </w:rPr>
        <w:t>;</w:t>
      </w:r>
    </w:p>
    <w:p w:rsidR="006557B1" w:rsidRDefault="006557B1" w:rsidP="006557B1">
      <w:pPr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:rsidR="006557B1" w:rsidRDefault="006557B1" w:rsidP="006557B1">
      <w:pPr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9B79EF">
        <w:rPr>
          <w:rFonts w:ascii="Tahoma" w:hAnsi="Tahoma" w:cs="Tahoma"/>
          <w:b/>
          <w:sz w:val="24"/>
          <w:szCs w:val="24"/>
          <w:lang w:val="en-GB"/>
        </w:rPr>
        <w:t>AND WHEREAS</w:t>
      </w:r>
      <w:r>
        <w:rPr>
          <w:rFonts w:ascii="Tahoma" w:hAnsi="Tahoma" w:cs="Tahoma"/>
          <w:b/>
          <w:sz w:val="24"/>
          <w:szCs w:val="24"/>
          <w:lang w:val="en-GB"/>
        </w:rPr>
        <w:t>:</w:t>
      </w:r>
    </w:p>
    <w:p w:rsidR="009122C6" w:rsidRDefault="003C4FFB" w:rsidP="006557B1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Stallion was registered for the specific purpose of making an Initial Public Offering (“IPO”)</w:t>
      </w:r>
      <w:r w:rsidR="009122C6">
        <w:rPr>
          <w:rFonts w:ascii="Tahoma" w:hAnsi="Tahoma" w:cs="Tahoma"/>
          <w:sz w:val="24"/>
          <w:szCs w:val="24"/>
          <w:lang w:val="en-GB"/>
        </w:rPr>
        <w:t xml:space="preserve"> </w:t>
      </w:r>
      <w:r>
        <w:rPr>
          <w:rFonts w:ascii="Tahoma" w:hAnsi="Tahoma" w:cs="Tahoma"/>
          <w:sz w:val="24"/>
          <w:szCs w:val="24"/>
          <w:lang w:val="en-GB"/>
        </w:rPr>
        <w:t>whi</w:t>
      </w:r>
      <w:r w:rsidR="005E07B2">
        <w:rPr>
          <w:rFonts w:ascii="Tahoma" w:hAnsi="Tahoma" w:cs="Tahoma"/>
          <w:sz w:val="24"/>
          <w:szCs w:val="24"/>
          <w:lang w:val="en-GB"/>
        </w:rPr>
        <w:t xml:space="preserve">ch was not fully subscribed following which </w:t>
      </w:r>
      <w:r>
        <w:rPr>
          <w:rFonts w:ascii="Tahoma" w:hAnsi="Tahoma" w:cs="Tahoma"/>
          <w:sz w:val="24"/>
          <w:szCs w:val="24"/>
          <w:lang w:val="en-GB"/>
        </w:rPr>
        <w:t>the IPO was aborted</w:t>
      </w:r>
      <w:r w:rsidR="009122C6">
        <w:rPr>
          <w:rFonts w:ascii="Tahoma" w:hAnsi="Tahoma" w:cs="Tahoma"/>
          <w:sz w:val="24"/>
          <w:szCs w:val="24"/>
          <w:lang w:val="en-GB"/>
        </w:rPr>
        <w:t>;</w:t>
      </w:r>
    </w:p>
    <w:p w:rsidR="009122C6" w:rsidRDefault="009122C6" w:rsidP="009122C6">
      <w:pPr>
        <w:pStyle w:val="ListParagraph"/>
        <w:jc w:val="both"/>
        <w:rPr>
          <w:rFonts w:ascii="Tahoma" w:hAnsi="Tahoma" w:cs="Tahoma"/>
          <w:sz w:val="24"/>
          <w:szCs w:val="24"/>
          <w:lang w:val="en-GB"/>
        </w:rPr>
      </w:pPr>
    </w:p>
    <w:p w:rsidR="006557B1" w:rsidRPr="005E07B2" w:rsidRDefault="006557B1" w:rsidP="005E07B2">
      <w:pPr>
        <w:jc w:val="both"/>
        <w:rPr>
          <w:rFonts w:ascii="Tahoma" w:hAnsi="Tahoma" w:cs="Tahoma"/>
          <w:sz w:val="24"/>
          <w:szCs w:val="24"/>
          <w:lang w:val="en-GB"/>
        </w:rPr>
      </w:pPr>
    </w:p>
    <w:p w:rsidR="006557B1" w:rsidRDefault="005E07B2" w:rsidP="006557B1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lastRenderedPageBreak/>
        <w:t>Stallion</w:t>
      </w:r>
      <w:r w:rsidR="006557B1">
        <w:rPr>
          <w:rFonts w:ascii="Tahoma" w:hAnsi="Tahoma" w:cs="Tahoma"/>
          <w:sz w:val="24"/>
          <w:szCs w:val="24"/>
          <w:lang w:val="en-GB"/>
        </w:rPr>
        <w:t xml:space="preserve"> submitted an application to be de-registered as a Reporting Issuer by letter </w:t>
      </w:r>
      <w:r>
        <w:rPr>
          <w:rFonts w:ascii="Tahoma" w:hAnsi="Tahoma" w:cs="Tahoma"/>
          <w:sz w:val="24"/>
          <w:szCs w:val="24"/>
          <w:lang w:val="en-GB"/>
        </w:rPr>
        <w:t>from its Attorneys, Hamel-Smith dated November 23, 2015</w:t>
      </w:r>
      <w:r w:rsidR="006557B1">
        <w:rPr>
          <w:rFonts w:ascii="Tahoma" w:hAnsi="Tahoma" w:cs="Tahoma"/>
          <w:sz w:val="24"/>
          <w:szCs w:val="24"/>
          <w:lang w:val="en-GB"/>
        </w:rPr>
        <w:t xml:space="preserve">; </w:t>
      </w:r>
    </w:p>
    <w:p w:rsidR="006557B1" w:rsidRDefault="006557B1" w:rsidP="006557B1">
      <w:pPr>
        <w:pStyle w:val="ListParagraph"/>
        <w:jc w:val="both"/>
        <w:rPr>
          <w:rFonts w:ascii="Tahoma" w:hAnsi="Tahoma" w:cs="Tahoma"/>
          <w:sz w:val="24"/>
          <w:szCs w:val="24"/>
          <w:lang w:val="en-GB"/>
        </w:rPr>
      </w:pPr>
    </w:p>
    <w:p w:rsidR="006557B1" w:rsidRDefault="005E07B2" w:rsidP="006557B1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Stallion also confirmed by letter dated February 22, 2016 through its Attorneys that it had complied with the requirement of publishing an advertisement to inform investors of its</w:t>
      </w:r>
      <w:r w:rsidR="00E0554B">
        <w:rPr>
          <w:rFonts w:ascii="Tahoma" w:hAnsi="Tahoma" w:cs="Tahoma"/>
          <w:sz w:val="24"/>
          <w:szCs w:val="24"/>
          <w:lang w:val="en-GB"/>
        </w:rPr>
        <w:t xml:space="preserve"> intention to de-register as a R</w:t>
      </w:r>
      <w:r>
        <w:rPr>
          <w:rFonts w:ascii="Tahoma" w:hAnsi="Tahoma" w:cs="Tahoma"/>
          <w:sz w:val="24"/>
          <w:szCs w:val="24"/>
          <w:lang w:val="en-GB"/>
        </w:rPr>
        <w:t>eporting Issuer and Collective Investment Scheme and paid the prescribed fees with respect to the de-registration application pursuant to Section 71 (b) of the Securities Act 2012 (“the Act”) and Schedule 1 of the Securities (General) By-Laws 2015.</w:t>
      </w:r>
    </w:p>
    <w:p w:rsidR="006557B1" w:rsidRPr="006557B1" w:rsidRDefault="006557B1" w:rsidP="006557B1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:rsidR="006557B1" w:rsidRPr="00A0607E" w:rsidRDefault="006557B1" w:rsidP="006557B1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:rsidR="006557B1" w:rsidRPr="00A0607E" w:rsidRDefault="006557B1" w:rsidP="006557B1">
      <w:pPr>
        <w:pStyle w:val="ListParagraph"/>
        <w:jc w:val="both"/>
        <w:rPr>
          <w:rFonts w:ascii="Tahoma" w:hAnsi="Tahoma" w:cs="Tahoma"/>
          <w:sz w:val="24"/>
          <w:szCs w:val="24"/>
          <w:lang w:val="en-GB"/>
        </w:rPr>
      </w:pPr>
    </w:p>
    <w:p w:rsidR="006557B1" w:rsidRDefault="006557B1" w:rsidP="006557B1">
      <w:pPr>
        <w:jc w:val="both"/>
        <w:rPr>
          <w:rFonts w:ascii="Tahoma" w:hAnsi="Tahoma" w:cs="Tahoma"/>
          <w:b/>
          <w:sz w:val="24"/>
          <w:szCs w:val="24"/>
        </w:rPr>
      </w:pPr>
      <w:r w:rsidRPr="005F1FC1">
        <w:rPr>
          <w:rFonts w:ascii="Tahoma" w:hAnsi="Tahoma" w:cs="Tahoma"/>
          <w:b/>
          <w:sz w:val="24"/>
          <w:szCs w:val="24"/>
        </w:rPr>
        <w:t>AND UPON:</w:t>
      </w:r>
    </w:p>
    <w:p w:rsidR="006557B1" w:rsidRDefault="006557B1" w:rsidP="006557B1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A0607E">
        <w:rPr>
          <w:rFonts w:ascii="Tahoma" w:hAnsi="Tahoma" w:cs="Tahoma"/>
          <w:sz w:val="24"/>
          <w:szCs w:val="24"/>
        </w:rPr>
        <w:t xml:space="preserve">The </w:t>
      </w:r>
      <w:r w:rsidR="00977C45">
        <w:rPr>
          <w:rFonts w:ascii="Tahoma" w:hAnsi="Tahoma" w:cs="Tahoma"/>
          <w:sz w:val="24"/>
          <w:szCs w:val="24"/>
        </w:rPr>
        <w:t xml:space="preserve">Commission is </w:t>
      </w:r>
      <w:r w:rsidRPr="00A0607E">
        <w:rPr>
          <w:rFonts w:ascii="Tahoma" w:hAnsi="Tahoma" w:cs="Tahoma"/>
          <w:sz w:val="24"/>
          <w:szCs w:val="24"/>
        </w:rPr>
        <w:t xml:space="preserve">considering the application for the de-registration of </w:t>
      </w:r>
      <w:r w:rsidR="008E61FF">
        <w:rPr>
          <w:rFonts w:ascii="Tahoma" w:hAnsi="Tahoma" w:cs="Tahoma"/>
          <w:sz w:val="24"/>
          <w:szCs w:val="24"/>
        </w:rPr>
        <w:t>Stallion on June 16, 2016</w:t>
      </w:r>
      <w:r>
        <w:rPr>
          <w:rFonts w:ascii="Tahoma" w:hAnsi="Tahoma" w:cs="Tahoma"/>
          <w:sz w:val="24"/>
          <w:szCs w:val="24"/>
        </w:rPr>
        <w:t>;</w:t>
      </w:r>
    </w:p>
    <w:p w:rsidR="006557B1" w:rsidRPr="00A0607E" w:rsidRDefault="006557B1" w:rsidP="006557B1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:rsidR="006557B1" w:rsidRPr="008E61FF" w:rsidRDefault="006557B1" w:rsidP="008E61FF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6557B1" w:rsidRPr="00A0607E" w:rsidRDefault="006557B1" w:rsidP="006557B1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</w:t>
      </w:r>
      <w:r w:rsidR="00E0554B">
        <w:rPr>
          <w:rFonts w:ascii="Tahoma" w:hAnsi="Tahoma" w:cs="Tahoma"/>
          <w:sz w:val="24"/>
          <w:szCs w:val="24"/>
        </w:rPr>
        <w:t>Commission</w:t>
      </w:r>
      <w:r>
        <w:rPr>
          <w:rFonts w:ascii="Tahoma" w:hAnsi="Tahoma" w:cs="Tahoma"/>
          <w:sz w:val="24"/>
          <w:szCs w:val="24"/>
        </w:rPr>
        <w:t xml:space="preserve"> deter</w:t>
      </w:r>
      <w:r w:rsidR="00E0554B">
        <w:rPr>
          <w:rFonts w:ascii="Tahoma" w:hAnsi="Tahoma" w:cs="Tahoma"/>
          <w:sz w:val="24"/>
          <w:szCs w:val="24"/>
        </w:rPr>
        <w:t>mining that the making of this O</w:t>
      </w:r>
      <w:r>
        <w:rPr>
          <w:rFonts w:ascii="Tahoma" w:hAnsi="Tahoma" w:cs="Tahoma"/>
          <w:sz w:val="24"/>
          <w:szCs w:val="24"/>
        </w:rPr>
        <w:t>rder is essentially procedural in accordance with Section 159 (10) and does not require a hearing pursuant to Section 159 (1).</w:t>
      </w:r>
    </w:p>
    <w:p w:rsidR="006557B1" w:rsidRPr="005F1FC1" w:rsidRDefault="006557B1" w:rsidP="006557B1">
      <w:pPr>
        <w:jc w:val="both"/>
        <w:rPr>
          <w:rFonts w:ascii="Tahoma" w:hAnsi="Tahoma" w:cs="Tahoma"/>
          <w:b/>
          <w:sz w:val="24"/>
          <w:szCs w:val="24"/>
        </w:rPr>
      </w:pPr>
    </w:p>
    <w:p w:rsidR="006557B1" w:rsidRDefault="006557B1" w:rsidP="006557B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6557B1" w:rsidRDefault="006557B1" w:rsidP="006557B1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5F1FC1">
        <w:rPr>
          <w:rFonts w:ascii="Tahoma" w:hAnsi="Tahoma" w:cs="Tahoma"/>
          <w:b/>
          <w:sz w:val="24"/>
          <w:szCs w:val="24"/>
        </w:rPr>
        <w:t>IT IS HERBY ORDERED</w:t>
      </w:r>
      <w:r>
        <w:rPr>
          <w:rFonts w:ascii="Tahoma" w:hAnsi="Tahoma" w:cs="Tahoma"/>
          <w:b/>
          <w:sz w:val="24"/>
          <w:szCs w:val="24"/>
        </w:rPr>
        <w:t xml:space="preserve"> THAT</w:t>
      </w:r>
      <w:r w:rsidRPr="005F1FC1">
        <w:rPr>
          <w:rFonts w:ascii="Tahoma" w:hAnsi="Tahoma" w:cs="Tahoma"/>
          <w:b/>
          <w:sz w:val="24"/>
          <w:szCs w:val="24"/>
        </w:rPr>
        <w:t>:</w:t>
      </w:r>
    </w:p>
    <w:p w:rsidR="006557B1" w:rsidRPr="008F3BB6" w:rsidRDefault="006557B1" w:rsidP="006557B1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E0554B" w:rsidRDefault="00E0554B" w:rsidP="00E0554B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0607E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>Commission is</w:t>
      </w:r>
      <w:r w:rsidRPr="00A0607E">
        <w:rPr>
          <w:rFonts w:ascii="Tahoma" w:hAnsi="Tahoma" w:cs="Tahoma"/>
          <w:sz w:val="24"/>
          <w:szCs w:val="24"/>
        </w:rPr>
        <w:t xml:space="preserve"> satisfied that making an Ord</w:t>
      </w:r>
      <w:r>
        <w:rPr>
          <w:rFonts w:ascii="Tahoma" w:hAnsi="Tahoma" w:cs="Tahoma"/>
          <w:sz w:val="24"/>
          <w:szCs w:val="24"/>
        </w:rPr>
        <w:t>er for the de-registration of Stallion as</w:t>
      </w:r>
      <w:r w:rsidRPr="00A0607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a </w:t>
      </w:r>
      <w:r w:rsidRPr="00A0607E">
        <w:rPr>
          <w:rFonts w:ascii="Tahoma" w:hAnsi="Tahoma" w:cs="Tahoma"/>
          <w:sz w:val="24"/>
          <w:szCs w:val="24"/>
        </w:rPr>
        <w:t xml:space="preserve">Reporting Issuer under section 71 (1) </w:t>
      </w:r>
      <w:r>
        <w:rPr>
          <w:rFonts w:ascii="Tahoma" w:hAnsi="Tahoma" w:cs="Tahoma"/>
          <w:sz w:val="24"/>
          <w:szCs w:val="24"/>
        </w:rPr>
        <w:t xml:space="preserve">and as a Collective Investment Scheme pursuant to Section 155 (1A) (e) </w:t>
      </w:r>
      <w:r w:rsidRPr="00A0607E">
        <w:rPr>
          <w:rFonts w:ascii="Tahoma" w:hAnsi="Tahoma" w:cs="Tahoma"/>
          <w:sz w:val="24"/>
          <w:szCs w:val="24"/>
        </w:rPr>
        <w:t>of the Securities Act 2012</w:t>
      </w:r>
      <w:r>
        <w:rPr>
          <w:rFonts w:ascii="Tahoma" w:hAnsi="Tahoma" w:cs="Tahoma"/>
          <w:sz w:val="24"/>
          <w:szCs w:val="24"/>
        </w:rPr>
        <w:t xml:space="preserve"> (“the Act”)</w:t>
      </w:r>
      <w:r w:rsidRPr="00A0607E">
        <w:rPr>
          <w:rFonts w:ascii="Tahoma" w:hAnsi="Tahoma" w:cs="Tahoma"/>
          <w:sz w:val="24"/>
          <w:szCs w:val="24"/>
        </w:rPr>
        <w:t xml:space="preserve"> will not adversely affect the rights of any person;</w:t>
      </w:r>
    </w:p>
    <w:p w:rsidR="00E0554B" w:rsidRDefault="00E0554B" w:rsidP="00E0554B">
      <w:pPr>
        <w:spacing w:after="0"/>
        <w:ind w:left="720"/>
        <w:jc w:val="both"/>
        <w:rPr>
          <w:rFonts w:ascii="Tahoma" w:hAnsi="Tahoma" w:cs="Tahoma"/>
          <w:sz w:val="24"/>
          <w:szCs w:val="24"/>
        </w:rPr>
      </w:pPr>
    </w:p>
    <w:p w:rsidR="006557B1" w:rsidRDefault="008E61FF" w:rsidP="006557B1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Stallion Property Trust</w:t>
      </w:r>
      <w:r w:rsidR="006557B1">
        <w:rPr>
          <w:rFonts w:ascii="Tahoma" w:hAnsi="Tahoma" w:cs="Tahoma"/>
          <w:sz w:val="24"/>
          <w:szCs w:val="24"/>
        </w:rPr>
        <w:t xml:space="preserve"> is no longer a Reporting Issuer</w:t>
      </w:r>
      <w:r>
        <w:rPr>
          <w:rFonts w:ascii="Tahoma" w:hAnsi="Tahoma" w:cs="Tahoma"/>
          <w:sz w:val="24"/>
          <w:szCs w:val="24"/>
        </w:rPr>
        <w:t xml:space="preserve"> and Collective Investment Scheme</w:t>
      </w:r>
      <w:r w:rsidR="006557B1">
        <w:rPr>
          <w:rFonts w:ascii="Tahoma" w:hAnsi="Tahoma" w:cs="Tahoma"/>
          <w:sz w:val="24"/>
          <w:szCs w:val="24"/>
        </w:rPr>
        <w:t xml:space="preserve"> registered with the Commission;</w:t>
      </w:r>
    </w:p>
    <w:p w:rsidR="006557B1" w:rsidRPr="00A0607E" w:rsidRDefault="006557B1" w:rsidP="006557B1">
      <w:pPr>
        <w:spacing w:after="0"/>
        <w:ind w:left="720"/>
        <w:jc w:val="both"/>
        <w:rPr>
          <w:rFonts w:ascii="Tahoma" w:hAnsi="Tahoma" w:cs="Tahoma"/>
          <w:sz w:val="24"/>
          <w:szCs w:val="24"/>
        </w:rPr>
      </w:pPr>
    </w:p>
    <w:p w:rsidR="006557B1" w:rsidRDefault="008E61FF" w:rsidP="006557B1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Stallion Property Trust </w:t>
      </w:r>
      <w:r w:rsidR="006557B1">
        <w:rPr>
          <w:rFonts w:ascii="Tahoma" w:hAnsi="Tahoma" w:cs="Tahoma"/>
          <w:sz w:val="24"/>
          <w:szCs w:val="24"/>
        </w:rPr>
        <w:t xml:space="preserve">be struck off the register of Reporting Issuers </w:t>
      </w:r>
      <w:r>
        <w:rPr>
          <w:rFonts w:ascii="Tahoma" w:hAnsi="Tahoma" w:cs="Tahoma"/>
          <w:sz w:val="24"/>
          <w:szCs w:val="24"/>
        </w:rPr>
        <w:t xml:space="preserve">and Collective Investment Schemes </w:t>
      </w:r>
      <w:r w:rsidR="006557B1">
        <w:rPr>
          <w:rFonts w:ascii="Tahoma" w:hAnsi="Tahoma" w:cs="Tahoma"/>
          <w:sz w:val="24"/>
          <w:szCs w:val="24"/>
        </w:rPr>
        <w:t>maintained by the Commission;</w:t>
      </w:r>
    </w:p>
    <w:p w:rsidR="006557B1" w:rsidRPr="008F3BB6" w:rsidRDefault="006557B1" w:rsidP="006557B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6557B1" w:rsidRPr="007F37FA" w:rsidRDefault="006557B1" w:rsidP="006557B1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This Order shall be published in </w:t>
      </w:r>
      <w:r w:rsidR="00E0554B">
        <w:rPr>
          <w:rFonts w:ascii="Tahoma" w:hAnsi="Tahoma" w:cs="Tahoma"/>
          <w:sz w:val="24"/>
          <w:szCs w:val="24"/>
        </w:rPr>
        <w:t>the Trinidad and Tobago Gazette</w:t>
      </w:r>
      <w:r>
        <w:rPr>
          <w:rFonts w:ascii="Tahoma" w:hAnsi="Tahoma" w:cs="Tahoma"/>
          <w:sz w:val="24"/>
          <w:szCs w:val="24"/>
        </w:rPr>
        <w:t xml:space="preserve"> and on the Commission’s website;</w:t>
      </w:r>
    </w:p>
    <w:p w:rsidR="006557B1" w:rsidRDefault="006557B1" w:rsidP="006557B1">
      <w:pPr>
        <w:jc w:val="both"/>
        <w:rPr>
          <w:rFonts w:ascii="Tahoma" w:hAnsi="Tahoma" w:cs="Tahoma"/>
          <w:sz w:val="24"/>
          <w:szCs w:val="24"/>
          <w:lang w:val="en-TT"/>
        </w:rPr>
      </w:pPr>
    </w:p>
    <w:p w:rsidR="006557B1" w:rsidRPr="007F37FA" w:rsidRDefault="006557B1" w:rsidP="006557B1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7F37FA">
        <w:rPr>
          <w:rFonts w:ascii="Tahoma" w:hAnsi="Tahoma" w:cs="Tahoma"/>
          <w:sz w:val="24"/>
          <w:szCs w:val="24"/>
        </w:rPr>
        <w:t xml:space="preserve">This Order </w:t>
      </w:r>
      <w:r>
        <w:rPr>
          <w:rFonts w:ascii="Tahoma" w:hAnsi="Tahoma" w:cs="Tahoma"/>
          <w:sz w:val="24"/>
          <w:szCs w:val="24"/>
        </w:rPr>
        <w:t xml:space="preserve">shall </w:t>
      </w:r>
      <w:r w:rsidR="00FF6F0A">
        <w:rPr>
          <w:rFonts w:ascii="Tahoma" w:hAnsi="Tahoma" w:cs="Tahoma"/>
          <w:sz w:val="24"/>
          <w:szCs w:val="24"/>
        </w:rPr>
        <w:t>take effect from</w:t>
      </w:r>
      <w:r w:rsidRPr="007F37FA">
        <w:rPr>
          <w:rFonts w:ascii="Tahoma" w:hAnsi="Tahoma" w:cs="Tahoma"/>
          <w:sz w:val="24"/>
          <w:szCs w:val="24"/>
        </w:rPr>
        <w:t xml:space="preserve"> </w:t>
      </w:r>
      <w:r w:rsidR="007F715D">
        <w:rPr>
          <w:rFonts w:ascii="Tahoma" w:hAnsi="Tahoma" w:cs="Tahoma"/>
          <w:sz w:val="24"/>
          <w:szCs w:val="24"/>
        </w:rPr>
        <w:t>June 16</w:t>
      </w:r>
      <w:r>
        <w:rPr>
          <w:rFonts w:ascii="Tahoma" w:hAnsi="Tahoma" w:cs="Tahoma"/>
          <w:sz w:val="24"/>
          <w:szCs w:val="24"/>
        </w:rPr>
        <w:t>, 201</w:t>
      </w:r>
      <w:r w:rsidR="00F50845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>.</w:t>
      </w:r>
    </w:p>
    <w:p w:rsidR="006557B1" w:rsidRPr="007F2F69" w:rsidRDefault="006557B1" w:rsidP="006557B1">
      <w:pPr>
        <w:jc w:val="both"/>
        <w:rPr>
          <w:rFonts w:ascii="Tahoma" w:hAnsi="Tahoma" w:cs="Tahoma"/>
          <w:b/>
          <w:sz w:val="24"/>
          <w:szCs w:val="24"/>
        </w:rPr>
      </w:pPr>
    </w:p>
    <w:p w:rsidR="00A635EF" w:rsidRPr="007F2F69" w:rsidRDefault="007F2F69" w:rsidP="00A635EF">
      <w:pPr>
        <w:tabs>
          <w:tab w:val="left" w:pos="360"/>
        </w:tabs>
        <w:spacing w:after="0"/>
        <w:rPr>
          <w:rFonts w:ascii="Tahoma" w:hAnsi="Tahoma" w:cs="Tahoma"/>
          <w:b/>
          <w:sz w:val="24"/>
          <w:szCs w:val="24"/>
        </w:rPr>
      </w:pPr>
      <w:r w:rsidRPr="007F2F69">
        <w:rPr>
          <w:rFonts w:ascii="Tahoma" w:hAnsi="Tahoma" w:cs="Tahoma"/>
          <w:b/>
          <w:sz w:val="24"/>
          <w:szCs w:val="24"/>
        </w:rPr>
        <w:t>BY ORDER OF THE COMMISSION</w:t>
      </w:r>
    </w:p>
    <w:p w:rsidR="006557B1" w:rsidRPr="00297B59" w:rsidRDefault="006557B1" w:rsidP="00A635EF">
      <w:pPr>
        <w:tabs>
          <w:tab w:val="left" w:pos="0"/>
        </w:tabs>
        <w:jc w:val="center"/>
        <w:rPr>
          <w:rFonts w:ascii="Tahoma" w:hAnsi="Tahoma" w:cs="Tahoma"/>
          <w:sz w:val="24"/>
          <w:szCs w:val="24"/>
        </w:rPr>
      </w:pPr>
    </w:p>
    <w:sectPr w:rsidR="006557B1" w:rsidRPr="00297B59" w:rsidSect="001375BB">
      <w:footerReference w:type="default" r:id="rId8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37C" w:rsidRDefault="00907FA8">
      <w:pPr>
        <w:spacing w:after="0" w:line="240" w:lineRule="auto"/>
      </w:pPr>
      <w:r>
        <w:separator/>
      </w:r>
    </w:p>
  </w:endnote>
  <w:endnote w:type="continuationSeparator" w:id="0">
    <w:p w:rsidR="00CD337C" w:rsidRDefault="0090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74205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75BB" w:rsidRDefault="009122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7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375BB" w:rsidRDefault="00947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37C" w:rsidRDefault="00907FA8">
      <w:pPr>
        <w:spacing w:after="0" w:line="240" w:lineRule="auto"/>
      </w:pPr>
      <w:r>
        <w:separator/>
      </w:r>
    </w:p>
  </w:footnote>
  <w:footnote w:type="continuationSeparator" w:id="0">
    <w:p w:rsidR="00CD337C" w:rsidRDefault="00907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37E5F"/>
    <w:multiLevelType w:val="hybridMultilevel"/>
    <w:tmpl w:val="C3BA2EF4"/>
    <w:lvl w:ilvl="0" w:tplc="8B909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621348"/>
    <w:multiLevelType w:val="hybridMultilevel"/>
    <w:tmpl w:val="EE560B92"/>
    <w:lvl w:ilvl="0" w:tplc="2C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B1"/>
    <w:rsid w:val="00166CB9"/>
    <w:rsid w:val="003C4FFB"/>
    <w:rsid w:val="005E07B2"/>
    <w:rsid w:val="006557B1"/>
    <w:rsid w:val="00670516"/>
    <w:rsid w:val="007F2F69"/>
    <w:rsid w:val="007F715D"/>
    <w:rsid w:val="008E61FF"/>
    <w:rsid w:val="00907FA8"/>
    <w:rsid w:val="009122C6"/>
    <w:rsid w:val="00947758"/>
    <w:rsid w:val="00977C45"/>
    <w:rsid w:val="00A635EF"/>
    <w:rsid w:val="00AC79E7"/>
    <w:rsid w:val="00B85809"/>
    <w:rsid w:val="00C84E1D"/>
    <w:rsid w:val="00CD337C"/>
    <w:rsid w:val="00CF406A"/>
    <w:rsid w:val="00D0529D"/>
    <w:rsid w:val="00E0554B"/>
    <w:rsid w:val="00F50845"/>
    <w:rsid w:val="00FC4525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A4C970-D090-4EC8-8885-B6B50623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7B1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6557B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7B1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paragraph" w:styleId="Title">
    <w:name w:val="Title"/>
    <w:basedOn w:val="Normal"/>
    <w:link w:val="TitleChar"/>
    <w:qFormat/>
    <w:rsid w:val="006557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557B1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557B1"/>
    <w:pPr>
      <w:ind w:left="720"/>
      <w:contextualSpacing/>
    </w:pPr>
    <w:rPr>
      <w:lang w:val="en-TT"/>
    </w:rPr>
  </w:style>
  <w:style w:type="paragraph" w:styleId="Footer">
    <w:name w:val="footer"/>
    <w:basedOn w:val="Normal"/>
    <w:link w:val="FooterChar"/>
    <w:uiPriority w:val="99"/>
    <w:unhideWhenUsed/>
    <w:rsid w:val="00655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7B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06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Sooparlie</dc:creator>
  <cp:keywords/>
  <dc:description/>
  <cp:lastModifiedBy>Nicole Bachan</cp:lastModifiedBy>
  <cp:revision>3</cp:revision>
  <cp:lastPrinted>2016-07-21T18:51:00Z</cp:lastPrinted>
  <dcterms:created xsi:type="dcterms:W3CDTF">2016-08-05T14:45:00Z</dcterms:created>
  <dcterms:modified xsi:type="dcterms:W3CDTF">2016-08-10T17:59:00Z</dcterms:modified>
</cp:coreProperties>
</file>